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A2" w:rsidRPr="00454BB1" w:rsidRDefault="00DB56A2" w:rsidP="00DB56A2">
      <w:pPr>
        <w:jc w:val="center"/>
        <w:rPr>
          <w:b/>
        </w:rPr>
      </w:pPr>
      <w:r>
        <w:rPr>
          <w:b/>
        </w:rPr>
        <w:t>GREEN FLAGS AND RED FLAGS</w:t>
      </w:r>
      <w:r w:rsidRPr="00454BB1">
        <w:rPr>
          <w:b/>
        </w:rPr>
        <w:t xml:space="preserve"> FOR IMPLEMENTATION</w:t>
      </w:r>
    </w:p>
    <w:p w:rsidR="00DB56A2" w:rsidRPr="00454BB1" w:rsidRDefault="00DB56A2" w:rsidP="00DB56A2">
      <w:pPr>
        <w:jc w:val="center"/>
        <w:rPr>
          <w:b/>
        </w:rPr>
      </w:pPr>
      <w:r>
        <w:rPr>
          <w:b/>
        </w:rPr>
        <w:t>The Common Core</w:t>
      </w:r>
      <w:r w:rsidR="000028DE">
        <w:rPr>
          <w:b/>
        </w:rPr>
        <w:t xml:space="preserve"> State Standards for </w:t>
      </w:r>
      <w:r w:rsidR="000A6117">
        <w:rPr>
          <w:b/>
        </w:rPr>
        <w:t>Mathematics</w:t>
      </w:r>
    </w:p>
    <w:p w:rsidR="00DB56A2" w:rsidRPr="00454BB1" w:rsidRDefault="00DB56A2" w:rsidP="00DB56A2">
      <w:pPr>
        <w:rPr>
          <w:b/>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3690"/>
      </w:tblGrid>
      <w:tr w:rsidR="009C11E2" w:rsidRPr="006547B7" w:rsidTr="00BD2A0D">
        <w:tc>
          <w:tcPr>
            <w:tcW w:w="7488" w:type="dxa"/>
            <w:shd w:val="clear" w:color="auto" w:fill="auto"/>
          </w:tcPr>
          <w:p w:rsidR="00DB56A2" w:rsidRDefault="00DB56A2" w:rsidP="009C11E2">
            <w:pPr>
              <w:rPr>
                <w:b/>
              </w:rPr>
            </w:pPr>
            <w:r w:rsidRPr="006547B7">
              <w:rPr>
                <w:b/>
              </w:rPr>
              <w:t xml:space="preserve">GREEN FLAGS:  </w:t>
            </w:r>
          </w:p>
          <w:p w:rsidR="00DB56A2" w:rsidRPr="006547B7" w:rsidRDefault="00DB56A2" w:rsidP="00D92AD8">
            <w:pPr>
              <w:rPr>
                <w:b/>
              </w:rPr>
            </w:pPr>
            <w:r w:rsidRPr="006547B7">
              <w:rPr>
                <w:b/>
              </w:rPr>
              <w:t xml:space="preserve">We’ll </w:t>
            </w:r>
            <w:r w:rsidR="009C11E2">
              <w:rPr>
                <w:b/>
              </w:rPr>
              <w:t>KNOW</w:t>
            </w:r>
            <w:r w:rsidRPr="006547B7">
              <w:rPr>
                <w:b/>
              </w:rPr>
              <w:t xml:space="preserve"> the CCSS</w:t>
            </w:r>
            <w:r w:rsidR="000028DE">
              <w:rPr>
                <w:b/>
              </w:rPr>
              <w:t xml:space="preserve"> for </w:t>
            </w:r>
            <w:r w:rsidR="00D92AD8">
              <w:rPr>
                <w:b/>
              </w:rPr>
              <w:t>Math</w:t>
            </w:r>
            <w:r w:rsidRPr="006547B7">
              <w:rPr>
                <w:b/>
              </w:rPr>
              <w:t xml:space="preserve"> are being implemented when…</w:t>
            </w:r>
          </w:p>
        </w:tc>
        <w:tc>
          <w:tcPr>
            <w:tcW w:w="3690" w:type="dxa"/>
          </w:tcPr>
          <w:p w:rsidR="00BD2A0D" w:rsidRDefault="00BD2A0D" w:rsidP="009C11E2">
            <w:pPr>
              <w:rPr>
                <w:b/>
              </w:rPr>
            </w:pPr>
            <w:r>
              <w:rPr>
                <w:b/>
              </w:rPr>
              <w:t xml:space="preserve">RED FLAGS:  </w:t>
            </w:r>
          </w:p>
          <w:p w:rsidR="00DB56A2" w:rsidRPr="006547B7" w:rsidRDefault="00BD2A0D" w:rsidP="009C11E2">
            <w:pPr>
              <w:rPr>
                <w:b/>
              </w:rPr>
            </w:pPr>
            <w:r>
              <w:rPr>
                <w:b/>
              </w:rPr>
              <w:t>We should NOT see the following:</w:t>
            </w:r>
          </w:p>
        </w:tc>
      </w:tr>
      <w:tr w:rsidR="000028DE" w:rsidRPr="006547B7" w:rsidTr="003E5B58">
        <w:tc>
          <w:tcPr>
            <w:tcW w:w="11178" w:type="dxa"/>
            <w:gridSpan w:val="2"/>
            <w:shd w:val="clear" w:color="auto" w:fill="D9D9D9" w:themeFill="background1" w:themeFillShade="D9"/>
          </w:tcPr>
          <w:p w:rsidR="000028DE" w:rsidRDefault="00202D1B" w:rsidP="000028DE">
            <w:r>
              <w:rPr>
                <w:b/>
              </w:rPr>
              <w:t>Focus</w:t>
            </w:r>
          </w:p>
        </w:tc>
      </w:tr>
      <w:tr w:rsidR="009C11E2" w:rsidRPr="006547B7" w:rsidTr="000364EC">
        <w:tc>
          <w:tcPr>
            <w:tcW w:w="7488" w:type="dxa"/>
            <w:shd w:val="clear" w:color="auto" w:fill="auto"/>
          </w:tcPr>
          <w:p w:rsidR="000A6117" w:rsidRDefault="000A6117" w:rsidP="000A6117">
            <w:pPr>
              <w:numPr>
                <w:ilvl w:val="0"/>
                <w:numId w:val="10"/>
              </w:numPr>
            </w:pPr>
            <w:r>
              <w:t>The content of instruction focuses on the identified standards for the grade level, with emphasis placed on the priority standards for the grade level.</w:t>
            </w:r>
          </w:p>
          <w:p w:rsidR="000A6117" w:rsidRDefault="000A6117" w:rsidP="000A6117">
            <w:pPr>
              <w:numPr>
                <w:ilvl w:val="0"/>
                <w:numId w:val="10"/>
              </w:numPr>
            </w:pPr>
            <w:r>
              <w:t>Teachers select text(s) and resources for instruction based on the standards to be taught and assessed.</w:t>
            </w:r>
          </w:p>
          <w:p w:rsidR="003762AA" w:rsidRPr="00F84C36" w:rsidRDefault="000A6117" w:rsidP="000A6117">
            <w:pPr>
              <w:pStyle w:val="ListParagraph"/>
              <w:numPr>
                <w:ilvl w:val="0"/>
                <w:numId w:val="10"/>
              </w:numPr>
            </w:pPr>
            <w:r>
              <w:t xml:space="preserve">Students are challenged to learn the content of mathematics at the level of rigor defined by the CCSS for their grade level. </w:t>
            </w:r>
          </w:p>
        </w:tc>
        <w:tc>
          <w:tcPr>
            <w:tcW w:w="3690" w:type="dxa"/>
          </w:tcPr>
          <w:p w:rsidR="000A6117" w:rsidRDefault="000A6117" w:rsidP="000A6117">
            <w:pPr>
              <w:pStyle w:val="ListParagraph"/>
              <w:numPr>
                <w:ilvl w:val="0"/>
                <w:numId w:val="10"/>
              </w:numPr>
            </w:pPr>
            <w:r>
              <w:t>Students are engaged with topics and activities unrelated to the concepts and procedures identified in the standards for their grade level.</w:t>
            </w:r>
          </w:p>
          <w:p w:rsidR="00B32B81" w:rsidRPr="009C11E2" w:rsidRDefault="000A6117" w:rsidP="000364EC">
            <w:pPr>
              <w:numPr>
                <w:ilvl w:val="0"/>
                <w:numId w:val="10"/>
              </w:numPr>
            </w:pPr>
            <w:r>
              <w:t xml:space="preserve">Content and skills not in the CCSS are taught to “get students ready” for the next grade level </w:t>
            </w:r>
            <w:r w:rsidR="000364EC">
              <w:t>or for middle school or high school.</w:t>
            </w:r>
          </w:p>
        </w:tc>
      </w:tr>
      <w:tr w:rsidR="000028DE" w:rsidRPr="006547B7" w:rsidTr="003E5B58">
        <w:tc>
          <w:tcPr>
            <w:tcW w:w="11178" w:type="dxa"/>
            <w:gridSpan w:val="2"/>
            <w:shd w:val="clear" w:color="auto" w:fill="D9D9D9" w:themeFill="background1" w:themeFillShade="D9"/>
          </w:tcPr>
          <w:p w:rsidR="000028DE" w:rsidRDefault="00202D1B" w:rsidP="000028DE">
            <w:r>
              <w:rPr>
                <w:b/>
              </w:rPr>
              <w:t>Coherence</w:t>
            </w:r>
          </w:p>
        </w:tc>
      </w:tr>
      <w:tr w:rsidR="009C11E2" w:rsidRPr="006547B7" w:rsidTr="00BD2A0D">
        <w:tc>
          <w:tcPr>
            <w:tcW w:w="7488" w:type="dxa"/>
            <w:shd w:val="clear" w:color="auto" w:fill="auto"/>
          </w:tcPr>
          <w:p w:rsidR="000A6117" w:rsidRPr="00D1074E" w:rsidRDefault="000A6117" w:rsidP="000A6117">
            <w:pPr>
              <w:numPr>
                <w:ilvl w:val="0"/>
                <w:numId w:val="10"/>
              </w:numPr>
            </w:pPr>
            <w:r>
              <w:t xml:space="preserve">Standards are taught and assessed in ways that maintain their connection to the cluster and domain in which they appear in the CCSS. </w:t>
            </w:r>
          </w:p>
          <w:p w:rsidR="000A6117" w:rsidRDefault="000A6117" w:rsidP="000A6117">
            <w:pPr>
              <w:numPr>
                <w:ilvl w:val="0"/>
                <w:numId w:val="10"/>
              </w:numPr>
            </w:pPr>
            <w:r>
              <w:t>Teachers use understanding of learning progressions presented from grade to grade in the CCSS to monitor students’ progress, to provide scaffolding to support student learning, and to extend learning beyond grade level content, where appropriate.</w:t>
            </w:r>
          </w:p>
          <w:p w:rsidR="000A6117" w:rsidRDefault="000A6117" w:rsidP="000A6117">
            <w:pPr>
              <w:numPr>
                <w:ilvl w:val="0"/>
                <w:numId w:val="10"/>
              </w:numPr>
            </w:pPr>
            <w:r>
              <w:t xml:space="preserve">Concepts and skills advance and deepen over time, within and across grades. </w:t>
            </w:r>
          </w:p>
          <w:p w:rsidR="00037801" w:rsidRDefault="000A6117" w:rsidP="000A6117">
            <w:pPr>
              <w:numPr>
                <w:ilvl w:val="0"/>
                <w:numId w:val="10"/>
              </w:numPr>
            </w:pPr>
            <w:r>
              <w:t xml:space="preserve">Students transfer knowledge and skills across concepts and within and across domains and learning progressions. </w:t>
            </w:r>
          </w:p>
          <w:p w:rsidR="00AF2827" w:rsidRDefault="000A6117" w:rsidP="000A6117">
            <w:pPr>
              <w:numPr>
                <w:ilvl w:val="0"/>
                <w:numId w:val="10"/>
              </w:numPr>
            </w:pPr>
            <w:r>
              <w:t>Major topics are linked within grades.</w:t>
            </w:r>
          </w:p>
          <w:p w:rsidR="00471A31" w:rsidRDefault="00471A31" w:rsidP="00471A31">
            <w:pPr>
              <w:ind w:left="360"/>
            </w:pPr>
          </w:p>
          <w:p w:rsidR="00471A31" w:rsidRDefault="00471A31" w:rsidP="00471A31">
            <w:pPr>
              <w:ind w:left="360"/>
            </w:pPr>
          </w:p>
        </w:tc>
        <w:tc>
          <w:tcPr>
            <w:tcW w:w="3690" w:type="dxa"/>
          </w:tcPr>
          <w:p w:rsidR="000A6117" w:rsidRDefault="000A6117" w:rsidP="000A6117">
            <w:pPr>
              <w:pStyle w:val="ListParagraph"/>
              <w:numPr>
                <w:ilvl w:val="0"/>
                <w:numId w:val="10"/>
              </w:numPr>
            </w:pPr>
            <w:r>
              <w:t>“Crosswalks” of the CCSS are aligned grade by grade with the existing/former state standards.</w:t>
            </w:r>
          </w:p>
          <w:p w:rsidR="000A6117" w:rsidRDefault="000A6117" w:rsidP="000A6117">
            <w:pPr>
              <w:numPr>
                <w:ilvl w:val="0"/>
                <w:numId w:val="10"/>
              </w:numPr>
            </w:pPr>
            <w:r>
              <w:t>Scope and sequence documents or curriculum maps replicate the table of contents of an existing mathematics textbook.</w:t>
            </w:r>
          </w:p>
          <w:p w:rsidR="00B32B81" w:rsidRPr="00B23DDA" w:rsidRDefault="000A6117" w:rsidP="00037801">
            <w:pPr>
              <w:numPr>
                <w:ilvl w:val="0"/>
                <w:numId w:val="10"/>
              </w:numPr>
            </w:pPr>
            <w:r>
              <w:t>Standards are “broken apart” f</w:t>
            </w:r>
            <w:r w:rsidR="00037801">
              <w:t>or instruction.</w:t>
            </w:r>
          </w:p>
        </w:tc>
      </w:tr>
      <w:tr w:rsidR="000028DE" w:rsidRPr="006547B7" w:rsidTr="003E5B58">
        <w:tc>
          <w:tcPr>
            <w:tcW w:w="11178" w:type="dxa"/>
            <w:gridSpan w:val="2"/>
            <w:shd w:val="clear" w:color="auto" w:fill="D9D9D9" w:themeFill="background1" w:themeFillShade="D9"/>
          </w:tcPr>
          <w:p w:rsidR="000028DE" w:rsidRPr="000028DE" w:rsidRDefault="00202D1B" w:rsidP="000028DE">
            <w:pPr>
              <w:rPr>
                <w:b/>
              </w:rPr>
            </w:pPr>
            <w:r>
              <w:rPr>
                <w:b/>
              </w:rPr>
              <w:t>Rigor</w:t>
            </w:r>
          </w:p>
        </w:tc>
      </w:tr>
      <w:tr w:rsidR="009C11E2" w:rsidRPr="006547B7" w:rsidTr="00BD2A0D">
        <w:tc>
          <w:tcPr>
            <w:tcW w:w="7488" w:type="dxa"/>
            <w:shd w:val="clear" w:color="auto" w:fill="auto"/>
          </w:tcPr>
          <w:p w:rsidR="000A6117" w:rsidRDefault="000A6117" w:rsidP="000A6117">
            <w:pPr>
              <w:numPr>
                <w:ilvl w:val="0"/>
                <w:numId w:val="10"/>
              </w:numPr>
            </w:pPr>
            <w:r>
              <w:t>In major topics, students pursue the following four aspects of mathematics with equal intensity:</w:t>
            </w:r>
          </w:p>
          <w:p w:rsidR="000A6117" w:rsidRDefault="000A6117" w:rsidP="000A6117">
            <w:pPr>
              <w:ind w:left="360"/>
            </w:pPr>
            <w:r>
              <w:t xml:space="preserve">     -- conceptual understanding, </w:t>
            </w:r>
          </w:p>
          <w:p w:rsidR="000A6117" w:rsidRDefault="000A6117" w:rsidP="000A6117">
            <w:pPr>
              <w:ind w:left="360"/>
            </w:pPr>
            <w:r>
              <w:t xml:space="preserve">     -- procedural skill, </w:t>
            </w:r>
          </w:p>
          <w:p w:rsidR="000A6117" w:rsidRDefault="000A6117" w:rsidP="000A6117">
            <w:pPr>
              <w:ind w:left="360"/>
            </w:pPr>
            <w:r>
              <w:t xml:space="preserve">     -- fluency, and </w:t>
            </w:r>
          </w:p>
          <w:p w:rsidR="000A6117" w:rsidRPr="00D1074E" w:rsidRDefault="000A6117" w:rsidP="000A6117">
            <w:pPr>
              <w:ind w:left="360"/>
            </w:pPr>
            <w:r>
              <w:t xml:space="preserve">     -- </w:t>
            </w:r>
            <w:proofErr w:type="gramStart"/>
            <w:r>
              <w:t>application</w:t>
            </w:r>
            <w:proofErr w:type="gramEnd"/>
            <w:r>
              <w:t xml:space="preserve">. </w:t>
            </w:r>
          </w:p>
          <w:p w:rsidR="000A6117" w:rsidRDefault="000A6117" w:rsidP="000A6117">
            <w:pPr>
              <w:numPr>
                <w:ilvl w:val="0"/>
                <w:numId w:val="10"/>
              </w:numPr>
            </w:pPr>
            <w:r>
              <w:t>Students engage in authentic, real-life practice of skills and make use of those skills through extended application of math concepts.</w:t>
            </w:r>
          </w:p>
          <w:p w:rsidR="000A6117" w:rsidRDefault="000A6117" w:rsidP="000A6117">
            <w:pPr>
              <w:numPr>
                <w:ilvl w:val="0"/>
                <w:numId w:val="10"/>
              </w:numPr>
            </w:pPr>
            <w:r>
              <w:t>Students develop deep conceptual understanding of the math concepts identified in the CCSS and are assessed to determine the extent to which they have attained the desired learning.</w:t>
            </w:r>
          </w:p>
          <w:p w:rsidR="000364EC" w:rsidRDefault="000A6117" w:rsidP="000364EC">
            <w:pPr>
              <w:pStyle w:val="ListParagraph"/>
              <w:numPr>
                <w:ilvl w:val="0"/>
                <w:numId w:val="10"/>
              </w:numPr>
            </w:pPr>
            <w:r>
              <w:t xml:space="preserve">Students receive feedback about the concepts and skills they have learned and about their next steps.  </w:t>
            </w:r>
          </w:p>
          <w:p w:rsidR="00E720FB" w:rsidRDefault="00E720FB" w:rsidP="00E720FB"/>
          <w:p w:rsidR="00E720FB" w:rsidRDefault="00E720FB" w:rsidP="00E720FB"/>
          <w:p w:rsidR="000364EC" w:rsidRDefault="000364EC" w:rsidP="000364EC">
            <w:pPr>
              <w:pStyle w:val="ListParagraph"/>
              <w:ind w:left="360"/>
            </w:pPr>
          </w:p>
          <w:p w:rsidR="00037801" w:rsidRPr="00236364" w:rsidRDefault="00037801" w:rsidP="000364EC">
            <w:pPr>
              <w:pStyle w:val="ListParagraph"/>
              <w:ind w:left="360"/>
            </w:pPr>
          </w:p>
        </w:tc>
        <w:tc>
          <w:tcPr>
            <w:tcW w:w="3690" w:type="dxa"/>
          </w:tcPr>
          <w:p w:rsidR="000A6117" w:rsidRPr="00B60884" w:rsidRDefault="000A6117" w:rsidP="000A6117">
            <w:pPr>
              <w:pStyle w:val="ListParagraph"/>
              <w:numPr>
                <w:ilvl w:val="0"/>
                <w:numId w:val="10"/>
              </w:numPr>
              <w:rPr>
                <w:b/>
              </w:rPr>
            </w:pPr>
            <w:r>
              <w:t>Paper and pencil assessments are used predominantly.</w:t>
            </w:r>
          </w:p>
          <w:p w:rsidR="00B32B81" w:rsidRPr="00E720FB" w:rsidRDefault="000A6117" w:rsidP="000A6117">
            <w:pPr>
              <w:pStyle w:val="ListParagraph"/>
              <w:numPr>
                <w:ilvl w:val="0"/>
                <w:numId w:val="10"/>
              </w:numPr>
              <w:rPr>
                <w:b/>
              </w:rPr>
            </w:pPr>
            <w:r>
              <w:t>Worksheets and workbooks are used extensively.</w:t>
            </w:r>
          </w:p>
          <w:p w:rsidR="00E720FB" w:rsidRPr="00CA11BD" w:rsidRDefault="00E720FB" w:rsidP="000A6117">
            <w:pPr>
              <w:pStyle w:val="ListParagraph"/>
              <w:numPr>
                <w:ilvl w:val="0"/>
                <w:numId w:val="10"/>
              </w:numPr>
              <w:rPr>
                <w:b/>
              </w:rPr>
            </w:pPr>
            <w:r>
              <w:t>Students are rarely or never assessed formatively.</w:t>
            </w:r>
          </w:p>
        </w:tc>
      </w:tr>
      <w:tr w:rsidR="00E720FB" w:rsidRPr="006547B7" w:rsidTr="00BD2A0D">
        <w:tc>
          <w:tcPr>
            <w:tcW w:w="7488" w:type="dxa"/>
            <w:shd w:val="clear" w:color="auto" w:fill="auto"/>
          </w:tcPr>
          <w:p w:rsidR="00E720FB" w:rsidRDefault="00E720FB" w:rsidP="00037801">
            <w:pPr>
              <w:rPr>
                <w:b/>
              </w:rPr>
            </w:pPr>
            <w:r w:rsidRPr="006547B7">
              <w:rPr>
                <w:b/>
              </w:rPr>
              <w:lastRenderedPageBreak/>
              <w:t xml:space="preserve">GREEN FLAGS:  </w:t>
            </w:r>
          </w:p>
          <w:p w:rsidR="00E720FB" w:rsidRPr="006547B7" w:rsidRDefault="00E720FB" w:rsidP="00D92AD8">
            <w:pPr>
              <w:rPr>
                <w:b/>
              </w:rPr>
            </w:pPr>
            <w:r w:rsidRPr="006547B7">
              <w:rPr>
                <w:b/>
              </w:rPr>
              <w:t xml:space="preserve">We’ll </w:t>
            </w:r>
            <w:r>
              <w:rPr>
                <w:b/>
              </w:rPr>
              <w:t>KNOW</w:t>
            </w:r>
            <w:r w:rsidRPr="006547B7">
              <w:rPr>
                <w:b/>
              </w:rPr>
              <w:t xml:space="preserve"> the CCSS</w:t>
            </w:r>
            <w:r>
              <w:rPr>
                <w:b/>
              </w:rPr>
              <w:t xml:space="preserve"> for </w:t>
            </w:r>
            <w:r w:rsidR="00D92AD8">
              <w:rPr>
                <w:b/>
              </w:rPr>
              <w:t>Math</w:t>
            </w:r>
            <w:r w:rsidRPr="006547B7">
              <w:rPr>
                <w:b/>
              </w:rPr>
              <w:t xml:space="preserve"> are being implemented when…</w:t>
            </w:r>
          </w:p>
        </w:tc>
        <w:tc>
          <w:tcPr>
            <w:tcW w:w="3690" w:type="dxa"/>
          </w:tcPr>
          <w:p w:rsidR="00E720FB" w:rsidRDefault="00E720FB" w:rsidP="00037801">
            <w:pPr>
              <w:rPr>
                <w:b/>
              </w:rPr>
            </w:pPr>
            <w:r>
              <w:rPr>
                <w:b/>
              </w:rPr>
              <w:t xml:space="preserve">RED FLAGS:  </w:t>
            </w:r>
          </w:p>
          <w:p w:rsidR="00E720FB" w:rsidRPr="006547B7" w:rsidRDefault="00E720FB" w:rsidP="00037801">
            <w:pPr>
              <w:rPr>
                <w:b/>
              </w:rPr>
            </w:pPr>
            <w:r>
              <w:rPr>
                <w:b/>
              </w:rPr>
              <w:t>We should NOT see the following:</w:t>
            </w:r>
          </w:p>
        </w:tc>
      </w:tr>
      <w:tr w:rsidR="00E720FB" w:rsidRPr="006547B7" w:rsidTr="003E5B58">
        <w:tc>
          <w:tcPr>
            <w:tcW w:w="11178" w:type="dxa"/>
            <w:gridSpan w:val="2"/>
            <w:shd w:val="clear" w:color="auto" w:fill="D9D9D9" w:themeFill="background1" w:themeFillShade="D9"/>
          </w:tcPr>
          <w:p w:rsidR="00E720FB" w:rsidRPr="000028DE" w:rsidRDefault="00E720FB" w:rsidP="000028DE">
            <w:pPr>
              <w:rPr>
                <w:b/>
              </w:rPr>
            </w:pPr>
            <w:r>
              <w:rPr>
                <w:rFonts w:ascii="Times" w:hAnsi="Times"/>
                <w:b/>
              </w:rPr>
              <w:t>Fluency</w:t>
            </w:r>
          </w:p>
        </w:tc>
      </w:tr>
      <w:tr w:rsidR="00E720FB" w:rsidRPr="006547B7" w:rsidTr="00BD2A0D">
        <w:tc>
          <w:tcPr>
            <w:tcW w:w="7488" w:type="dxa"/>
            <w:shd w:val="clear" w:color="auto" w:fill="auto"/>
          </w:tcPr>
          <w:p w:rsidR="00E720FB" w:rsidRPr="00633EC5" w:rsidRDefault="00E720FB" w:rsidP="000A6117">
            <w:pPr>
              <w:numPr>
                <w:ilvl w:val="0"/>
                <w:numId w:val="10"/>
              </w:numPr>
              <w:tabs>
                <w:tab w:val="left" w:pos="360"/>
              </w:tabs>
            </w:pPr>
            <w:r w:rsidRPr="006547B7">
              <w:rPr>
                <w:color w:val="000000"/>
                <w:shd w:val="clear" w:color="auto" w:fill="FFFFFF"/>
              </w:rPr>
              <w:t>Students are </w:t>
            </w:r>
            <w:r w:rsidRPr="006547B7">
              <w:rPr>
                <w:iCs/>
                <w:color w:val="000000"/>
                <w:shd w:val="clear" w:color="auto" w:fill="FFFFFF"/>
              </w:rPr>
              <w:t>efficient</w:t>
            </w:r>
            <w:r w:rsidRPr="006547B7">
              <w:rPr>
                <w:color w:val="000000"/>
                <w:shd w:val="clear" w:color="auto" w:fill="FFFFFF"/>
              </w:rPr>
              <w:t> and </w:t>
            </w:r>
            <w:r w:rsidRPr="006547B7">
              <w:rPr>
                <w:iCs/>
                <w:color w:val="000000"/>
                <w:shd w:val="clear" w:color="auto" w:fill="FFFFFF"/>
              </w:rPr>
              <w:t>accurate</w:t>
            </w:r>
            <w:r w:rsidRPr="006547B7">
              <w:rPr>
                <w:color w:val="000000"/>
                <w:shd w:val="clear" w:color="auto" w:fill="FFFFFF"/>
              </w:rPr>
              <w:t> in performing foundational computational procedures without having to refer to tables and other aids. </w:t>
            </w:r>
          </w:p>
          <w:p w:rsidR="00E720FB" w:rsidRDefault="00E720FB" w:rsidP="000A6117">
            <w:pPr>
              <w:numPr>
                <w:ilvl w:val="0"/>
                <w:numId w:val="10"/>
              </w:numPr>
              <w:tabs>
                <w:tab w:val="left" w:pos="360"/>
              </w:tabs>
            </w:pPr>
            <w:r w:rsidRPr="006547B7">
              <w:rPr>
                <w:color w:val="000000"/>
                <w:shd w:val="clear" w:color="auto" w:fill="FFFFFF"/>
              </w:rPr>
              <w:t>Teachers help students to study algorithms as “general procedures” so they can gain insights to the structure of mathematics (e.g. organization, patterns, predictability)</w:t>
            </w:r>
          </w:p>
          <w:p w:rsidR="00E720FB" w:rsidRDefault="00E720FB" w:rsidP="000A6117">
            <w:pPr>
              <w:pStyle w:val="ListParagraph"/>
              <w:numPr>
                <w:ilvl w:val="0"/>
                <w:numId w:val="10"/>
              </w:numPr>
            </w:pPr>
            <w:r w:rsidRPr="00633EC5">
              <w:t>Student</w:t>
            </w:r>
            <w:r>
              <w:t>s</w:t>
            </w:r>
            <w:r w:rsidRPr="00633EC5">
              <w:t xml:space="preserve"> are able to </w:t>
            </w:r>
            <w:r w:rsidRPr="006547B7">
              <w:rPr>
                <w:color w:val="000000"/>
                <w:shd w:val="clear" w:color="auto" w:fill="FFFFFF"/>
              </w:rPr>
              <w:t>apply a variety of appropriate procedures </w:t>
            </w:r>
            <w:r w:rsidRPr="006547B7">
              <w:rPr>
                <w:i/>
                <w:iCs/>
                <w:color w:val="000000"/>
                <w:shd w:val="clear" w:color="auto" w:fill="FFFFFF"/>
              </w:rPr>
              <w:t>flexibly</w:t>
            </w:r>
            <w:r w:rsidRPr="006547B7">
              <w:rPr>
                <w:color w:val="000000"/>
                <w:shd w:val="clear" w:color="auto" w:fill="FFFFFF"/>
              </w:rPr>
              <w:t> as they solve problems</w:t>
            </w:r>
            <w:r w:rsidRPr="006547B7">
              <w:rPr>
                <w:rFonts w:ascii="Verdana" w:hAnsi="Verdana"/>
                <w:color w:val="000000"/>
                <w:sz w:val="18"/>
                <w:szCs w:val="18"/>
                <w:shd w:val="clear" w:color="auto" w:fill="FFFFFF"/>
              </w:rPr>
              <w:t xml:space="preserve">.  </w:t>
            </w:r>
            <w:r w:rsidRPr="006547B7">
              <w:rPr>
                <w:color w:val="000000"/>
                <w:shd w:val="clear" w:color="auto" w:fill="FFFFFF"/>
              </w:rPr>
              <w:t xml:space="preserve">(Oregon Department of Education, </w:t>
            </w:r>
            <w:proofErr w:type="spellStart"/>
            <w:r w:rsidRPr="006547B7">
              <w:rPr>
                <w:color w:val="000000"/>
                <w:shd w:val="clear" w:color="auto" w:fill="FFFFFF"/>
              </w:rPr>
              <w:t>n.d</w:t>
            </w:r>
            <w:proofErr w:type="spellEnd"/>
            <w:r w:rsidRPr="006547B7">
              <w:rPr>
                <w:color w:val="000000"/>
                <w:shd w:val="clear" w:color="auto" w:fill="FFFFFF"/>
              </w:rPr>
              <w:t>.)</w:t>
            </w:r>
            <w:r>
              <w:t>.</w:t>
            </w:r>
          </w:p>
          <w:p w:rsidR="00471A31" w:rsidRDefault="00471A31" w:rsidP="00471A31">
            <w:pPr>
              <w:pStyle w:val="ListParagraph"/>
              <w:ind w:left="360"/>
            </w:pPr>
          </w:p>
          <w:p w:rsidR="00471A31" w:rsidRDefault="00471A31" w:rsidP="00471A31">
            <w:pPr>
              <w:pStyle w:val="ListParagraph"/>
              <w:ind w:left="360"/>
            </w:pPr>
          </w:p>
        </w:tc>
        <w:tc>
          <w:tcPr>
            <w:tcW w:w="3690" w:type="dxa"/>
          </w:tcPr>
          <w:p w:rsidR="00E720FB" w:rsidRPr="00BF5ECC" w:rsidRDefault="00E720FB" w:rsidP="000364EC">
            <w:pPr>
              <w:pStyle w:val="ListParagraph"/>
              <w:numPr>
                <w:ilvl w:val="0"/>
                <w:numId w:val="10"/>
              </w:numPr>
              <w:rPr>
                <w:b/>
              </w:rPr>
            </w:pPr>
            <w:proofErr w:type="gramStart"/>
            <w:r>
              <w:t>Students regularly and repeatedly refer to tables and aids</w:t>
            </w:r>
            <w:proofErr w:type="gramEnd"/>
            <w:r>
              <w:t xml:space="preserve"> to assist with computational procedures.</w:t>
            </w:r>
          </w:p>
          <w:p w:rsidR="00E720FB" w:rsidRPr="000028DE" w:rsidRDefault="00E720FB" w:rsidP="000364EC">
            <w:pPr>
              <w:pStyle w:val="ListParagraph"/>
              <w:numPr>
                <w:ilvl w:val="0"/>
                <w:numId w:val="10"/>
              </w:numPr>
              <w:rPr>
                <w:b/>
              </w:rPr>
            </w:pPr>
            <w:r>
              <w:t>Students engage in memorization tasks without opportunities to develop deeper understanding of algorithms and when to use them.</w:t>
            </w:r>
          </w:p>
        </w:tc>
      </w:tr>
      <w:tr w:rsidR="00E720FB" w:rsidRPr="006547B7" w:rsidTr="003E5B58">
        <w:tc>
          <w:tcPr>
            <w:tcW w:w="11178" w:type="dxa"/>
            <w:gridSpan w:val="2"/>
            <w:shd w:val="clear" w:color="auto" w:fill="D9D9D9" w:themeFill="background1" w:themeFillShade="D9"/>
          </w:tcPr>
          <w:p w:rsidR="00E720FB" w:rsidRPr="000028DE" w:rsidRDefault="00E720FB" w:rsidP="000028DE">
            <w:pPr>
              <w:rPr>
                <w:b/>
              </w:rPr>
            </w:pPr>
            <w:r>
              <w:rPr>
                <w:b/>
              </w:rPr>
              <w:t>Deep Understanding</w:t>
            </w:r>
          </w:p>
        </w:tc>
      </w:tr>
      <w:tr w:rsidR="00E720FB" w:rsidRPr="006547B7" w:rsidTr="00BD2A0D">
        <w:tc>
          <w:tcPr>
            <w:tcW w:w="7488" w:type="dxa"/>
            <w:shd w:val="clear" w:color="auto" w:fill="auto"/>
          </w:tcPr>
          <w:p w:rsidR="00E720FB" w:rsidRDefault="00E720FB" w:rsidP="000364EC">
            <w:pPr>
              <w:numPr>
                <w:ilvl w:val="0"/>
                <w:numId w:val="10"/>
              </w:numPr>
            </w:pPr>
            <w:r>
              <w:t>Students are given the time to “make sense” of math lessons.</w:t>
            </w:r>
          </w:p>
          <w:p w:rsidR="00E720FB" w:rsidRDefault="00E720FB" w:rsidP="000364EC">
            <w:pPr>
              <w:numPr>
                <w:ilvl w:val="0"/>
                <w:numId w:val="10"/>
              </w:numPr>
            </w:pPr>
            <w:r>
              <w:t xml:space="preserve">Students can justify why a particular math statement is true or where a </w:t>
            </w:r>
            <w:r w:rsidRPr="00427E22">
              <w:t>mathematical</w:t>
            </w:r>
            <w:r>
              <w:rPr>
                <w:color w:val="FF0000"/>
              </w:rPr>
              <w:t xml:space="preserve"> </w:t>
            </w:r>
            <w:r>
              <w:t>rule comes from.</w:t>
            </w:r>
          </w:p>
          <w:p w:rsidR="00E720FB" w:rsidRDefault="00E720FB" w:rsidP="000364EC">
            <w:pPr>
              <w:numPr>
                <w:ilvl w:val="0"/>
                <w:numId w:val="10"/>
              </w:numPr>
            </w:pPr>
            <w:r>
              <w:t>Students are encouraged to use precise and accurate mathematics, academic language, terminology, and concrete or abstract representations (e.g., pictures, symbols, expressions, equations, graphics, models) in the discipline. (Tri-State Collaborative, 2012)</w:t>
            </w:r>
          </w:p>
          <w:p w:rsidR="00E720FB" w:rsidRDefault="00E720FB" w:rsidP="000364EC">
            <w:pPr>
              <w:pStyle w:val="ListParagraph"/>
              <w:numPr>
                <w:ilvl w:val="0"/>
                <w:numId w:val="10"/>
              </w:numPr>
            </w:pPr>
            <w:r>
              <w:t>Students have opportunities to write and speak about their understanding of mathematics content and procedures.</w:t>
            </w:r>
          </w:p>
          <w:p w:rsidR="00471A31" w:rsidRDefault="00471A31" w:rsidP="00471A31">
            <w:pPr>
              <w:pStyle w:val="ListParagraph"/>
              <w:ind w:left="360"/>
            </w:pPr>
          </w:p>
          <w:p w:rsidR="00471A31" w:rsidRDefault="00471A31" w:rsidP="00471A31">
            <w:pPr>
              <w:pStyle w:val="ListParagraph"/>
              <w:ind w:left="360"/>
            </w:pPr>
          </w:p>
        </w:tc>
        <w:tc>
          <w:tcPr>
            <w:tcW w:w="3690" w:type="dxa"/>
          </w:tcPr>
          <w:p w:rsidR="00E720FB" w:rsidRDefault="00E720FB" w:rsidP="000364EC">
            <w:pPr>
              <w:numPr>
                <w:ilvl w:val="0"/>
                <w:numId w:val="10"/>
              </w:numPr>
            </w:pPr>
            <w:r>
              <w:t>Instruction moves quickly from one topic to another without necessary scaffolding and practice to build deep understanding.</w:t>
            </w:r>
          </w:p>
          <w:p w:rsidR="00E720FB" w:rsidRPr="0081191E" w:rsidRDefault="00E720FB" w:rsidP="000364EC">
            <w:pPr>
              <w:pStyle w:val="ListParagraph"/>
              <w:ind w:left="360"/>
              <w:rPr>
                <w:b/>
              </w:rPr>
            </w:pPr>
          </w:p>
        </w:tc>
      </w:tr>
      <w:tr w:rsidR="00E720FB" w:rsidRPr="006547B7" w:rsidTr="003E5B58">
        <w:tc>
          <w:tcPr>
            <w:tcW w:w="11178" w:type="dxa"/>
            <w:gridSpan w:val="2"/>
            <w:shd w:val="clear" w:color="auto" w:fill="D9D9D9" w:themeFill="background1" w:themeFillShade="D9"/>
          </w:tcPr>
          <w:p w:rsidR="00E720FB" w:rsidRPr="0081191E" w:rsidRDefault="00E720FB" w:rsidP="000028DE">
            <w:pPr>
              <w:pStyle w:val="ListParagraph"/>
              <w:ind w:left="360"/>
              <w:rPr>
                <w:b/>
              </w:rPr>
            </w:pPr>
            <w:r>
              <w:rPr>
                <w:b/>
              </w:rPr>
              <w:t>Application</w:t>
            </w:r>
          </w:p>
        </w:tc>
      </w:tr>
      <w:tr w:rsidR="00E720FB" w:rsidRPr="006547B7" w:rsidTr="00BD2A0D">
        <w:tc>
          <w:tcPr>
            <w:tcW w:w="7488" w:type="dxa"/>
            <w:shd w:val="clear" w:color="auto" w:fill="auto"/>
          </w:tcPr>
          <w:p w:rsidR="00E720FB" w:rsidRDefault="00E720FB" w:rsidP="000364EC">
            <w:pPr>
              <w:numPr>
                <w:ilvl w:val="0"/>
                <w:numId w:val="10"/>
              </w:numPr>
              <w:tabs>
                <w:tab w:val="left" w:pos="810"/>
              </w:tabs>
            </w:pPr>
            <w:r>
              <w:t>Students chose the appropriate concept or procedure to solve a problem or analyze a situation without being prompted which to use.</w:t>
            </w:r>
          </w:p>
          <w:p w:rsidR="00E720FB" w:rsidRPr="00012C7C" w:rsidRDefault="00E720FB" w:rsidP="000364EC">
            <w:pPr>
              <w:numPr>
                <w:ilvl w:val="0"/>
                <w:numId w:val="10"/>
              </w:numPr>
              <w:tabs>
                <w:tab w:val="left" w:pos="810"/>
              </w:tabs>
            </w:pPr>
            <w:r w:rsidRPr="00012C7C">
              <w:t>Opportunities for practice and feedback follow instruction and are provided prior to expecting independent practice by students.</w:t>
            </w:r>
          </w:p>
          <w:p w:rsidR="00E720FB" w:rsidRDefault="00E720FB" w:rsidP="000364EC">
            <w:pPr>
              <w:numPr>
                <w:ilvl w:val="0"/>
                <w:numId w:val="10"/>
              </w:numPr>
              <w:tabs>
                <w:tab w:val="left" w:pos="810"/>
              </w:tabs>
            </w:pPr>
            <w:r>
              <w:t xml:space="preserve">Teachers support students’ exploration of tasks and lead debriefing discussions </w:t>
            </w:r>
            <w:r w:rsidRPr="00012C7C">
              <w:t xml:space="preserve">in which student reflect on their thinking processes </w:t>
            </w:r>
            <w:r>
              <w:t>following task completion.</w:t>
            </w:r>
          </w:p>
          <w:p w:rsidR="00E720FB" w:rsidRPr="00471A31" w:rsidRDefault="00E720FB" w:rsidP="000364EC">
            <w:pPr>
              <w:pStyle w:val="ListParagraph"/>
              <w:numPr>
                <w:ilvl w:val="0"/>
                <w:numId w:val="10"/>
              </w:numPr>
              <w:rPr>
                <w:b/>
              </w:rPr>
            </w:pPr>
            <w:r>
              <w:t>Students have the necessary confidence to use mathematics effectively in everyday life.</w:t>
            </w:r>
          </w:p>
          <w:p w:rsidR="00471A31" w:rsidRPr="000028DE" w:rsidRDefault="00471A31" w:rsidP="00471A31">
            <w:pPr>
              <w:pStyle w:val="ListParagraph"/>
              <w:ind w:left="360"/>
              <w:rPr>
                <w:b/>
              </w:rPr>
            </w:pPr>
          </w:p>
        </w:tc>
        <w:tc>
          <w:tcPr>
            <w:tcW w:w="3690" w:type="dxa"/>
          </w:tcPr>
          <w:p w:rsidR="00E720FB" w:rsidRPr="00BF5ECC" w:rsidRDefault="00E720FB" w:rsidP="000364EC">
            <w:pPr>
              <w:pStyle w:val="ListParagraph"/>
              <w:numPr>
                <w:ilvl w:val="0"/>
                <w:numId w:val="10"/>
              </w:numPr>
              <w:rPr>
                <w:b/>
              </w:rPr>
            </w:pPr>
            <w:r>
              <w:t>Students are supplied with a problem and directed to the concept or procedure to use to solve the problem.</w:t>
            </w:r>
          </w:p>
          <w:p w:rsidR="00E720FB" w:rsidRPr="000364EC" w:rsidRDefault="00E720FB" w:rsidP="000364EC">
            <w:pPr>
              <w:pStyle w:val="ListParagraph"/>
              <w:numPr>
                <w:ilvl w:val="0"/>
                <w:numId w:val="10"/>
              </w:numPr>
              <w:rPr>
                <w:b/>
              </w:rPr>
            </w:pPr>
            <w:r>
              <w:t>Mathematics instruction goes from explanation to independent practice with little or no opportunities for practice and feedback.</w:t>
            </w:r>
          </w:p>
        </w:tc>
      </w:tr>
      <w:tr w:rsidR="00E720FB" w:rsidRPr="006547B7" w:rsidTr="00E720FB">
        <w:tc>
          <w:tcPr>
            <w:tcW w:w="11178" w:type="dxa"/>
            <w:gridSpan w:val="2"/>
            <w:shd w:val="clear" w:color="auto" w:fill="D9D9D9" w:themeFill="background1" w:themeFillShade="D9"/>
          </w:tcPr>
          <w:p w:rsidR="00E720FB" w:rsidRDefault="00E720FB" w:rsidP="00E720FB">
            <w:pPr>
              <w:pStyle w:val="ListParagraph"/>
              <w:ind w:left="360"/>
            </w:pPr>
            <w:r>
              <w:rPr>
                <w:b/>
              </w:rPr>
              <w:t>Integration</w:t>
            </w:r>
          </w:p>
        </w:tc>
      </w:tr>
      <w:tr w:rsidR="00E720FB" w:rsidRPr="006547B7" w:rsidTr="00BD2A0D">
        <w:tc>
          <w:tcPr>
            <w:tcW w:w="7488" w:type="dxa"/>
            <w:shd w:val="clear" w:color="auto" w:fill="auto"/>
          </w:tcPr>
          <w:p w:rsidR="00E720FB" w:rsidRDefault="00E720FB" w:rsidP="00E720FB">
            <w:pPr>
              <w:numPr>
                <w:ilvl w:val="0"/>
                <w:numId w:val="10"/>
              </w:numPr>
              <w:rPr>
                <w:rFonts w:ascii="Times" w:hAnsi="Times"/>
                <w:sz w:val="20"/>
                <w:szCs w:val="20"/>
              </w:rPr>
            </w:pPr>
            <w:r>
              <w:t>The standards for mathematical practice are integrated with the teaching of math content standards, particularly those standards that begin with the word “understand.”</w:t>
            </w:r>
          </w:p>
          <w:p w:rsidR="00E720FB" w:rsidRPr="00471A31" w:rsidRDefault="00E720FB" w:rsidP="00E720FB">
            <w:pPr>
              <w:numPr>
                <w:ilvl w:val="0"/>
                <w:numId w:val="10"/>
              </w:numPr>
              <w:rPr>
                <w:rFonts w:ascii="Times" w:hAnsi="Times"/>
                <w:sz w:val="20"/>
                <w:szCs w:val="20"/>
              </w:rPr>
            </w:pPr>
            <w:r>
              <w:t xml:space="preserve">Students have opportunities on a regular basis to engage in mathematical tasks that require them to apply mathematical practices and use mathematical ideas in new situations, including in real life situations.  </w:t>
            </w:r>
          </w:p>
          <w:p w:rsidR="00471A31" w:rsidRDefault="00471A31" w:rsidP="00471A31">
            <w:pPr>
              <w:rPr>
                <w:rFonts w:ascii="Times" w:hAnsi="Times"/>
                <w:sz w:val="20"/>
                <w:szCs w:val="20"/>
              </w:rPr>
            </w:pPr>
          </w:p>
          <w:p w:rsidR="00471A31" w:rsidRPr="00E720FB" w:rsidRDefault="00471A31" w:rsidP="00471A31">
            <w:pPr>
              <w:rPr>
                <w:rFonts w:ascii="Times" w:hAnsi="Times"/>
                <w:sz w:val="20"/>
                <w:szCs w:val="20"/>
              </w:rPr>
            </w:pPr>
          </w:p>
        </w:tc>
        <w:tc>
          <w:tcPr>
            <w:tcW w:w="3690" w:type="dxa"/>
          </w:tcPr>
          <w:p w:rsidR="00E720FB" w:rsidRDefault="00E720FB" w:rsidP="00E720FB">
            <w:pPr>
              <w:pStyle w:val="ListParagraph"/>
              <w:numPr>
                <w:ilvl w:val="0"/>
                <w:numId w:val="10"/>
              </w:numPr>
            </w:pPr>
            <w:r>
              <w:t>The Standards for Mathematical Practice are taught as ends in themselves and are not connected to the focus of the content standards identified for the grade level.</w:t>
            </w:r>
          </w:p>
        </w:tc>
      </w:tr>
    </w:tbl>
    <w:p w:rsidR="00100D27" w:rsidRDefault="00100D27" w:rsidP="00100D27">
      <w:pPr>
        <w:jc w:val="center"/>
        <w:rPr>
          <w:sz w:val="20"/>
          <w:szCs w:val="20"/>
        </w:rPr>
      </w:pPr>
    </w:p>
    <w:p w:rsidR="00471A31" w:rsidRDefault="00471A31" w:rsidP="000364EC">
      <w:pPr>
        <w:jc w:val="center"/>
        <w:rPr>
          <w:b/>
        </w:rPr>
      </w:pPr>
    </w:p>
    <w:p w:rsidR="000364EC" w:rsidRPr="00100D27" w:rsidRDefault="000364EC" w:rsidP="000364EC">
      <w:pPr>
        <w:jc w:val="center"/>
        <w:rPr>
          <w:b/>
        </w:rPr>
      </w:pPr>
      <w:r w:rsidRPr="00100D27">
        <w:rPr>
          <w:b/>
        </w:rPr>
        <w:lastRenderedPageBreak/>
        <w:t>Resources</w:t>
      </w:r>
    </w:p>
    <w:p w:rsidR="00E720FB" w:rsidRDefault="00E720FB" w:rsidP="000364EC">
      <w:pPr>
        <w:rPr>
          <w:sz w:val="20"/>
          <w:szCs w:val="20"/>
        </w:rPr>
      </w:pPr>
    </w:p>
    <w:p w:rsidR="000364EC" w:rsidRDefault="000364EC" w:rsidP="00051446">
      <w:pPr>
        <w:ind w:left="360" w:hanging="360"/>
        <w:rPr>
          <w:sz w:val="20"/>
          <w:szCs w:val="20"/>
        </w:rPr>
      </w:pPr>
      <w:proofErr w:type="gramStart"/>
      <w:r w:rsidRPr="00100D27">
        <w:rPr>
          <w:sz w:val="20"/>
          <w:szCs w:val="20"/>
        </w:rPr>
        <w:t xml:space="preserve">Briars, D. (2011) </w:t>
      </w:r>
      <w:r w:rsidRPr="00100D27">
        <w:rPr>
          <w:i/>
          <w:sz w:val="20"/>
          <w:szCs w:val="20"/>
        </w:rPr>
        <w:t>Tools and Strategies for Considering Instructional Materials for Implementing the CCSS.</w:t>
      </w:r>
      <w:proofErr w:type="gramEnd"/>
      <w:r w:rsidRPr="00100D27">
        <w:rPr>
          <w:i/>
          <w:sz w:val="20"/>
          <w:szCs w:val="20"/>
        </w:rPr>
        <w:t xml:space="preserve"> </w:t>
      </w:r>
      <w:r w:rsidRPr="00100D27">
        <w:rPr>
          <w:sz w:val="20"/>
          <w:szCs w:val="20"/>
        </w:rPr>
        <w:t xml:space="preserve">Accessed from </w:t>
      </w:r>
      <w:hyperlink r:id="rId8" w:history="1">
        <w:r w:rsidRPr="00100D27">
          <w:rPr>
            <w:rStyle w:val="Hyperlink"/>
            <w:sz w:val="20"/>
            <w:szCs w:val="20"/>
          </w:rPr>
          <w:t>http://www.lsri.uic.edu/ccss/ccss_bo_briars.pdf</w:t>
        </w:r>
      </w:hyperlink>
      <w:r w:rsidRPr="00100D27">
        <w:rPr>
          <w:sz w:val="20"/>
          <w:szCs w:val="20"/>
        </w:rPr>
        <w:t>.</w:t>
      </w:r>
    </w:p>
    <w:p w:rsidR="00E720FB" w:rsidRDefault="00E720FB" w:rsidP="00051446">
      <w:pPr>
        <w:ind w:left="360" w:hanging="360"/>
        <w:rPr>
          <w:sz w:val="20"/>
          <w:szCs w:val="20"/>
        </w:rPr>
      </w:pPr>
    </w:p>
    <w:p w:rsidR="00E720FB" w:rsidRPr="00E720FB" w:rsidRDefault="00E720FB" w:rsidP="00051446">
      <w:pPr>
        <w:ind w:left="360" w:hanging="360"/>
        <w:rPr>
          <w:sz w:val="20"/>
          <w:szCs w:val="20"/>
        </w:rPr>
      </w:pPr>
      <w:r>
        <w:rPr>
          <w:sz w:val="20"/>
          <w:szCs w:val="20"/>
        </w:rPr>
        <w:t xml:space="preserve">Carr, J. F. &amp; Harris, D. E. (2001) </w:t>
      </w:r>
      <w:r>
        <w:rPr>
          <w:i/>
          <w:sz w:val="20"/>
          <w:szCs w:val="20"/>
        </w:rPr>
        <w:t>Succeeding With Standards: Linking Curriculum, Assessment, and Action Planning</w:t>
      </w:r>
      <w:r>
        <w:rPr>
          <w:sz w:val="20"/>
          <w:szCs w:val="20"/>
        </w:rPr>
        <w:t>. Alexandria, VA: ASCD.</w:t>
      </w:r>
    </w:p>
    <w:p w:rsidR="00E720FB" w:rsidRPr="00100D27" w:rsidRDefault="00E720FB" w:rsidP="00051446">
      <w:pPr>
        <w:ind w:left="360" w:hanging="360"/>
        <w:rPr>
          <w:sz w:val="20"/>
          <w:szCs w:val="20"/>
        </w:rPr>
      </w:pPr>
    </w:p>
    <w:p w:rsidR="000364EC" w:rsidRPr="00100D27" w:rsidRDefault="000364EC" w:rsidP="00051446">
      <w:pPr>
        <w:ind w:left="360" w:hanging="360"/>
        <w:rPr>
          <w:sz w:val="20"/>
          <w:szCs w:val="20"/>
        </w:rPr>
      </w:pPr>
      <w:proofErr w:type="gramStart"/>
      <w:r w:rsidRPr="00100D27">
        <w:rPr>
          <w:sz w:val="20"/>
          <w:szCs w:val="20"/>
        </w:rPr>
        <w:t>Common Core State Standards Initiative.</w:t>
      </w:r>
      <w:proofErr w:type="gramEnd"/>
      <w:r w:rsidRPr="00100D27">
        <w:rPr>
          <w:sz w:val="20"/>
          <w:szCs w:val="20"/>
        </w:rPr>
        <w:t xml:space="preserve"> (2011) </w:t>
      </w:r>
      <w:r w:rsidRPr="00100D27">
        <w:rPr>
          <w:i/>
          <w:sz w:val="20"/>
          <w:szCs w:val="20"/>
        </w:rPr>
        <w:t xml:space="preserve">Common Core State Standards: Mathematics Standards. </w:t>
      </w:r>
      <w:r w:rsidRPr="00100D27">
        <w:rPr>
          <w:sz w:val="20"/>
          <w:szCs w:val="20"/>
        </w:rPr>
        <w:t xml:space="preserve">Accessed from </w:t>
      </w:r>
      <w:hyperlink r:id="rId9" w:history="1">
        <w:r w:rsidRPr="00100D27">
          <w:rPr>
            <w:rStyle w:val="Hyperlink"/>
            <w:sz w:val="20"/>
            <w:szCs w:val="20"/>
          </w:rPr>
          <w:t>http://www.corestandards.org/</w:t>
        </w:r>
      </w:hyperlink>
    </w:p>
    <w:p w:rsidR="00051446" w:rsidRDefault="00051446" w:rsidP="00051446">
      <w:pPr>
        <w:ind w:left="360" w:hanging="360"/>
        <w:rPr>
          <w:sz w:val="20"/>
          <w:szCs w:val="20"/>
        </w:rPr>
      </w:pPr>
    </w:p>
    <w:p w:rsidR="000364EC" w:rsidRDefault="000364EC" w:rsidP="00051446">
      <w:pPr>
        <w:ind w:left="360" w:hanging="360"/>
        <w:rPr>
          <w:sz w:val="20"/>
          <w:szCs w:val="20"/>
        </w:rPr>
      </w:pPr>
      <w:proofErr w:type="spellStart"/>
      <w:proofErr w:type="gramStart"/>
      <w:r w:rsidRPr="00100D27">
        <w:rPr>
          <w:sz w:val="20"/>
          <w:szCs w:val="20"/>
        </w:rPr>
        <w:t>EngageNY</w:t>
      </w:r>
      <w:proofErr w:type="spellEnd"/>
      <w:r w:rsidRPr="00100D27">
        <w:rPr>
          <w:sz w:val="20"/>
          <w:szCs w:val="20"/>
        </w:rPr>
        <w:t xml:space="preserve"> (2011) </w:t>
      </w:r>
      <w:r w:rsidRPr="00100D27">
        <w:rPr>
          <w:i/>
          <w:sz w:val="20"/>
          <w:szCs w:val="20"/>
        </w:rPr>
        <w:t>Instructional Shifts for the Common Core.</w:t>
      </w:r>
      <w:proofErr w:type="gramEnd"/>
      <w:r w:rsidRPr="00100D27">
        <w:rPr>
          <w:i/>
          <w:sz w:val="20"/>
          <w:szCs w:val="20"/>
        </w:rPr>
        <w:t xml:space="preserve"> </w:t>
      </w:r>
      <w:r w:rsidRPr="00100D27">
        <w:rPr>
          <w:sz w:val="20"/>
          <w:szCs w:val="20"/>
        </w:rPr>
        <w:t xml:space="preserve"> Accessed from </w:t>
      </w:r>
      <w:hyperlink r:id="rId10" w:history="1">
        <w:r w:rsidR="00E720FB" w:rsidRPr="00A8362D">
          <w:rPr>
            <w:rStyle w:val="Hyperlink"/>
            <w:sz w:val="20"/>
            <w:szCs w:val="20"/>
          </w:rPr>
          <w:t>http://engageny.org/wp-content/uploads/2011/08/instructional_shifts.pdf</w:t>
        </w:r>
      </w:hyperlink>
      <w:r w:rsidRPr="00100D27">
        <w:rPr>
          <w:sz w:val="20"/>
          <w:szCs w:val="20"/>
        </w:rPr>
        <w:t>.</w:t>
      </w:r>
    </w:p>
    <w:p w:rsidR="00E720FB" w:rsidRPr="00100D27" w:rsidRDefault="00E720FB" w:rsidP="00051446">
      <w:pPr>
        <w:ind w:left="360" w:hanging="360"/>
        <w:rPr>
          <w:sz w:val="20"/>
          <w:szCs w:val="20"/>
        </w:rPr>
      </w:pPr>
    </w:p>
    <w:p w:rsidR="00E720FB" w:rsidRDefault="000364EC" w:rsidP="00051446">
      <w:pPr>
        <w:ind w:left="360" w:hanging="360"/>
        <w:rPr>
          <w:sz w:val="20"/>
          <w:szCs w:val="20"/>
        </w:rPr>
      </w:pPr>
      <w:proofErr w:type="gramStart"/>
      <w:r w:rsidRPr="00100D27">
        <w:rPr>
          <w:sz w:val="20"/>
          <w:szCs w:val="20"/>
        </w:rPr>
        <w:t>Oregon Department of Education.</w:t>
      </w:r>
      <w:proofErr w:type="gramEnd"/>
      <w:r w:rsidRPr="00100D27">
        <w:rPr>
          <w:sz w:val="20"/>
          <w:szCs w:val="20"/>
        </w:rPr>
        <w:t xml:space="preserve"> </w:t>
      </w:r>
      <w:proofErr w:type="gramStart"/>
      <w:r w:rsidRPr="00100D27">
        <w:rPr>
          <w:sz w:val="20"/>
          <w:szCs w:val="20"/>
        </w:rPr>
        <w:t>(</w:t>
      </w:r>
      <w:proofErr w:type="spellStart"/>
      <w:r w:rsidRPr="00100D27">
        <w:rPr>
          <w:sz w:val="20"/>
          <w:szCs w:val="20"/>
        </w:rPr>
        <w:t>n.d</w:t>
      </w:r>
      <w:proofErr w:type="spellEnd"/>
      <w:r w:rsidRPr="00100D27">
        <w:rPr>
          <w:sz w:val="20"/>
          <w:szCs w:val="20"/>
        </w:rPr>
        <w:t>.)</w:t>
      </w:r>
      <w:proofErr w:type="gramEnd"/>
      <w:r w:rsidRPr="00100D27">
        <w:rPr>
          <w:sz w:val="20"/>
          <w:szCs w:val="20"/>
        </w:rPr>
        <w:t xml:space="preserve"> </w:t>
      </w:r>
      <w:r w:rsidRPr="00100D27">
        <w:rPr>
          <w:i/>
          <w:sz w:val="20"/>
          <w:szCs w:val="20"/>
        </w:rPr>
        <w:t xml:space="preserve">CCSS Toolkit: Math Teachers. </w:t>
      </w:r>
      <w:r w:rsidRPr="00100D27">
        <w:rPr>
          <w:sz w:val="20"/>
          <w:szCs w:val="20"/>
        </w:rPr>
        <w:t xml:space="preserve">Accessed from </w:t>
      </w:r>
      <w:hyperlink r:id="rId11" w:history="1">
        <w:r w:rsidRPr="00100D27">
          <w:rPr>
            <w:rStyle w:val="Hyperlink"/>
            <w:sz w:val="20"/>
            <w:szCs w:val="20"/>
          </w:rPr>
          <w:t>http://www.ode.state.or.us/search/page/?id=3426</w:t>
        </w:r>
      </w:hyperlink>
      <w:r w:rsidRPr="00100D27">
        <w:rPr>
          <w:sz w:val="20"/>
          <w:szCs w:val="20"/>
        </w:rPr>
        <w:t>.</w:t>
      </w:r>
    </w:p>
    <w:p w:rsidR="00E720FB" w:rsidRDefault="00E720FB" w:rsidP="00051446">
      <w:pPr>
        <w:ind w:left="360" w:hanging="360"/>
        <w:rPr>
          <w:sz w:val="20"/>
          <w:szCs w:val="20"/>
        </w:rPr>
      </w:pPr>
    </w:p>
    <w:p w:rsidR="000364EC" w:rsidRPr="00100D27" w:rsidRDefault="000364EC" w:rsidP="00051446">
      <w:pPr>
        <w:ind w:left="360" w:hanging="360"/>
        <w:rPr>
          <w:sz w:val="20"/>
          <w:szCs w:val="20"/>
        </w:rPr>
      </w:pPr>
      <w:proofErr w:type="gramStart"/>
      <w:r w:rsidRPr="00100D27">
        <w:rPr>
          <w:sz w:val="20"/>
          <w:szCs w:val="20"/>
        </w:rPr>
        <w:t>Student Achievement Partners.</w:t>
      </w:r>
      <w:proofErr w:type="gramEnd"/>
      <w:r w:rsidRPr="00100D27">
        <w:rPr>
          <w:sz w:val="20"/>
          <w:szCs w:val="20"/>
        </w:rPr>
        <w:t xml:space="preserve"> </w:t>
      </w:r>
      <w:proofErr w:type="gramStart"/>
      <w:r w:rsidRPr="00100D27">
        <w:rPr>
          <w:sz w:val="20"/>
          <w:szCs w:val="20"/>
        </w:rPr>
        <w:t>(</w:t>
      </w:r>
      <w:proofErr w:type="spellStart"/>
      <w:r w:rsidRPr="00100D27">
        <w:rPr>
          <w:sz w:val="20"/>
          <w:szCs w:val="20"/>
        </w:rPr>
        <w:t>n.d</w:t>
      </w:r>
      <w:proofErr w:type="spellEnd"/>
      <w:r w:rsidRPr="00100D27">
        <w:rPr>
          <w:sz w:val="20"/>
          <w:szCs w:val="20"/>
        </w:rPr>
        <w:t>.)</w:t>
      </w:r>
      <w:proofErr w:type="gramEnd"/>
      <w:r w:rsidRPr="00100D27">
        <w:rPr>
          <w:sz w:val="20"/>
          <w:szCs w:val="20"/>
        </w:rPr>
        <w:t xml:space="preserve"> </w:t>
      </w:r>
      <w:proofErr w:type="gramStart"/>
      <w:r w:rsidRPr="00100D27">
        <w:rPr>
          <w:i/>
          <w:sz w:val="20"/>
          <w:szCs w:val="20"/>
        </w:rPr>
        <w:t>Key Instruction Shifts for the Common Core State Standards for Mathematics.</w:t>
      </w:r>
      <w:proofErr w:type="gramEnd"/>
      <w:r w:rsidRPr="00100D27">
        <w:rPr>
          <w:sz w:val="20"/>
          <w:szCs w:val="20"/>
        </w:rPr>
        <w:t xml:space="preserve"> Accessed from http://www.achievethecore.org/downloads/Math%20Shifts%20and%20Major%20Work%20of%20Grade.pdf.</w:t>
      </w:r>
    </w:p>
    <w:p w:rsidR="000364EC" w:rsidRDefault="000364EC" w:rsidP="00051446">
      <w:pPr>
        <w:ind w:left="360" w:hanging="360"/>
        <w:rPr>
          <w:sz w:val="20"/>
          <w:szCs w:val="20"/>
        </w:rPr>
      </w:pPr>
    </w:p>
    <w:p w:rsidR="000364EC" w:rsidRPr="00100D27" w:rsidRDefault="000364EC" w:rsidP="00051446">
      <w:pPr>
        <w:ind w:left="360" w:hanging="360"/>
        <w:rPr>
          <w:sz w:val="20"/>
          <w:szCs w:val="20"/>
        </w:rPr>
      </w:pPr>
      <w:r w:rsidRPr="00100D27">
        <w:rPr>
          <w:sz w:val="20"/>
          <w:szCs w:val="20"/>
        </w:rPr>
        <w:t xml:space="preserve">Tri-State Collaborative (Massachusetts, New York, &amp; Rhode Island) facilitated by Achieve with consultation from Student Achievement Partners. (April 12, 2012). </w:t>
      </w:r>
      <w:proofErr w:type="gramStart"/>
      <w:r w:rsidRPr="00100D27">
        <w:rPr>
          <w:i/>
          <w:sz w:val="20"/>
          <w:szCs w:val="20"/>
        </w:rPr>
        <w:t>Tri-State Quality Review Rubric for Mathematics Lessons and Units, Version 2.0</w:t>
      </w:r>
      <w:r w:rsidRPr="00100D27">
        <w:rPr>
          <w:sz w:val="20"/>
          <w:szCs w:val="20"/>
        </w:rPr>
        <w:t>.</w:t>
      </w:r>
      <w:proofErr w:type="gramEnd"/>
      <w:r w:rsidRPr="00100D27">
        <w:rPr>
          <w:sz w:val="20"/>
          <w:szCs w:val="20"/>
        </w:rPr>
        <w:t xml:space="preserve">  Accessed from http://engageny.org/wp-content/uploads/2012/04/Tri-State-Math-Rubric-V2-04-12-2012.pdf. </w:t>
      </w:r>
    </w:p>
    <w:p w:rsidR="00580E5D" w:rsidRPr="00580E5D" w:rsidRDefault="00580E5D" w:rsidP="00051446">
      <w:pPr>
        <w:ind w:left="360" w:hanging="360"/>
        <w:rPr>
          <w:sz w:val="20"/>
          <w:szCs w:val="20"/>
        </w:rPr>
      </w:pPr>
      <w:r>
        <w:rPr>
          <w:sz w:val="20"/>
          <w:szCs w:val="20"/>
        </w:rPr>
        <w:t>.</w:t>
      </w:r>
    </w:p>
    <w:sectPr w:rsidR="00580E5D" w:rsidRPr="00580E5D" w:rsidSect="009C11E2">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7D3" w:rsidRDefault="006167D3" w:rsidP="00E97E41">
      <w:r>
        <w:separator/>
      </w:r>
    </w:p>
  </w:endnote>
  <w:endnote w:type="continuationSeparator" w:id="0">
    <w:p w:rsidR="006167D3" w:rsidRDefault="006167D3" w:rsidP="00E97E41">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6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01" w:rsidRDefault="00581FC6" w:rsidP="009C11E2">
    <w:pPr>
      <w:pStyle w:val="Footer"/>
      <w:framePr w:wrap="around" w:vAnchor="text" w:hAnchor="margin" w:xAlign="right" w:y="1"/>
      <w:rPr>
        <w:rStyle w:val="PageNumber"/>
      </w:rPr>
    </w:pPr>
    <w:r>
      <w:rPr>
        <w:rStyle w:val="PageNumber"/>
      </w:rPr>
      <w:fldChar w:fldCharType="begin"/>
    </w:r>
    <w:r w:rsidR="00037801">
      <w:rPr>
        <w:rStyle w:val="PageNumber"/>
      </w:rPr>
      <w:instrText xml:space="preserve">PAGE  </w:instrText>
    </w:r>
    <w:r>
      <w:rPr>
        <w:rStyle w:val="PageNumber"/>
      </w:rPr>
      <w:fldChar w:fldCharType="separate"/>
    </w:r>
    <w:r w:rsidR="00037801">
      <w:rPr>
        <w:rStyle w:val="PageNumber"/>
        <w:noProof/>
      </w:rPr>
      <w:t>1</w:t>
    </w:r>
    <w:r>
      <w:rPr>
        <w:rStyle w:val="PageNumber"/>
      </w:rPr>
      <w:fldChar w:fldCharType="end"/>
    </w:r>
  </w:p>
  <w:p w:rsidR="00037801" w:rsidRDefault="00037801" w:rsidP="009C11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01" w:rsidRDefault="00581FC6" w:rsidP="009C11E2">
    <w:pPr>
      <w:pStyle w:val="Footer"/>
      <w:framePr w:wrap="around" w:vAnchor="text" w:hAnchor="margin" w:xAlign="right" w:y="1"/>
      <w:rPr>
        <w:rStyle w:val="PageNumber"/>
      </w:rPr>
    </w:pPr>
    <w:r>
      <w:rPr>
        <w:rStyle w:val="PageNumber"/>
      </w:rPr>
      <w:fldChar w:fldCharType="begin"/>
    </w:r>
    <w:r w:rsidR="00037801">
      <w:rPr>
        <w:rStyle w:val="PageNumber"/>
      </w:rPr>
      <w:instrText xml:space="preserve">PAGE  </w:instrText>
    </w:r>
    <w:r>
      <w:rPr>
        <w:rStyle w:val="PageNumber"/>
      </w:rPr>
      <w:fldChar w:fldCharType="separate"/>
    </w:r>
    <w:r w:rsidR="00D92AD8">
      <w:rPr>
        <w:rStyle w:val="PageNumber"/>
        <w:noProof/>
      </w:rPr>
      <w:t>1</w:t>
    </w:r>
    <w:r>
      <w:rPr>
        <w:rStyle w:val="PageNumber"/>
      </w:rPr>
      <w:fldChar w:fldCharType="end"/>
    </w:r>
  </w:p>
  <w:p w:rsidR="00037801" w:rsidRDefault="00037801" w:rsidP="009C11E2">
    <w:pPr>
      <w:pStyle w:val="Footer"/>
      <w:ind w:right="360"/>
    </w:pPr>
    <w:r>
      <w:t>Sue Z. Beers (suebeers@netins.net) and Judy F. Carr (jcarrvt@aol.com),</w:t>
    </w:r>
    <w:r w:rsidR="00471A31">
      <w:rPr>
        <w:sz w:val="22"/>
        <w:szCs w:val="22"/>
      </w:rPr>
      <w:t xml:space="preserve"> </w:t>
    </w:r>
    <w:r w:rsidRPr="0028466F">
      <w:rPr>
        <w:sz w:val="22"/>
        <w:szCs w:val="22"/>
      </w:rPr>
      <w:t xml:space="preserve">2012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7D3" w:rsidRDefault="006167D3" w:rsidP="00E97E41">
      <w:r>
        <w:separator/>
      </w:r>
    </w:p>
  </w:footnote>
  <w:footnote w:type="continuationSeparator" w:id="0">
    <w:p w:rsidR="006167D3" w:rsidRDefault="006167D3" w:rsidP="00E97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01" w:rsidRDefault="000378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21D0"/>
    <w:multiLevelType w:val="hybridMultilevel"/>
    <w:tmpl w:val="EF9CE022"/>
    <w:lvl w:ilvl="0" w:tplc="D6AC1BDA">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B17F3E"/>
    <w:multiLevelType w:val="hybridMultilevel"/>
    <w:tmpl w:val="9830DC2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1F5CB1"/>
    <w:multiLevelType w:val="hybridMultilevel"/>
    <w:tmpl w:val="88B611A0"/>
    <w:lvl w:ilvl="0" w:tplc="51C8E3B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D2574"/>
    <w:multiLevelType w:val="hybridMultilevel"/>
    <w:tmpl w:val="1172B3A4"/>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F117D6"/>
    <w:multiLevelType w:val="hybridMultilevel"/>
    <w:tmpl w:val="4F9A5F80"/>
    <w:lvl w:ilvl="0" w:tplc="88BC30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82D4C"/>
    <w:multiLevelType w:val="hybridMultilevel"/>
    <w:tmpl w:val="DCF0A35A"/>
    <w:lvl w:ilvl="0" w:tplc="88BC30B4">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832FFC"/>
    <w:multiLevelType w:val="hybridMultilevel"/>
    <w:tmpl w:val="21948166"/>
    <w:lvl w:ilvl="0" w:tplc="D6AC1BDA">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4C70F3"/>
    <w:multiLevelType w:val="hybridMultilevel"/>
    <w:tmpl w:val="7894541E"/>
    <w:lvl w:ilvl="0" w:tplc="D6AC1BDA">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494BBC"/>
    <w:multiLevelType w:val="hybridMultilevel"/>
    <w:tmpl w:val="3D600146"/>
    <w:lvl w:ilvl="0" w:tplc="88BC30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A142A"/>
    <w:multiLevelType w:val="hybridMultilevel"/>
    <w:tmpl w:val="6524AF06"/>
    <w:lvl w:ilvl="0" w:tplc="88BC30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57CA7"/>
    <w:multiLevelType w:val="hybridMultilevel"/>
    <w:tmpl w:val="C42C6FE2"/>
    <w:lvl w:ilvl="0" w:tplc="88BC30B4">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6F34336"/>
    <w:multiLevelType w:val="hybridMultilevel"/>
    <w:tmpl w:val="84A4ECDE"/>
    <w:lvl w:ilvl="0" w:tplc="88BC30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02F72"/>
    <w:multiLevelType w:val="hybridMultilevel"/>
    <w:tmpl w:val="BAA877FA"/>
    <w:lvl w:ilvl="0" w:tplc="88BC30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450AB"/>
    <w:multiLevelType w:val="hybridMultilevel"/>
    <w:tmpl w:val="C816A6A8"/>
    <w:lvl w:ilvl="0" w:tplc="88BC30B4">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5365CB5"/>
    <w:multiLevelType w:val="hybridMultilevel"/>
    <w:tmpl w:val="A936163C"/>
    <w:lvl w:ilvl="0" w:tplc="D6AC1BD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5587D"/>
    <w:multiLevelType w:val="hybridMultilevel"/>
    <w:tmpl w:val="37BA59F4"/>
    <w:lvl w:ilvl="0" w:tplc="D6AC1BDA">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D167EA9"/>
    <w:multiLevelType w:val="hybridMultilevel"/>
    <w:tmpl w:val="FB8CB92A"/>
    <w:lvl w:ilvl="0" w:tplc="D6AC1BDA">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D6A2B4F"/>
    <w:multiLevelType w:val="hybridMultilevel"/>
    <w:tmpl w:val="4EB042C4"/>
    <w:lvl w:ilvl="0" w:tplc="88BC30B4">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DB909ED"/>
    <w:multiLevelType w:val="hybridMultilevel"/>
    <w:tmpl w:val="FA94C96C"/>
    <w:lvl w:ilvl="0" w:tplc="D6AC1BDA">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3C615D"/>
    <w:multiLevelType w:val="hybridMultilevel"/>
    <w:tmpl w:val="EAF6A7C2"/>
    <w:lvl w:ilvl="0" w:tplc="88BC30B4">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65236F4"/>
    <w:multiLevelType w:val="hybridMultilevel"/>
    <w:tmpl w:val="D2A49110"/>
    <w:lvl w:ilvl="0" w:tplc="88BC30B4">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8457EA0"/>
    <w:multiLevelType w:val="hybridMultilevel"/>
    <w:tmpl w:val="1C3685A4"/>
    <w:lvl w:ilvl="0" w:tplc="88BC30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1630FD"/>
    <w:multiLevelType w:val="hybridMultilevel"/>
    <w:tmpl w:val="A47484EC"/>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1A532E"/>
    <w:multiLevelType w:val="hybridMultilevel"/>
    <w:tmpl w:val="C19E4420"/>
    <w:lvl w:ilvl="0" w:tplc="88BC30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381557"/>
    <w:multiLevelType w:val="hybridMultilevel"/>
    <w:tmpl w:val="6E6476EC"/>
    <w:lvl w:ilvl="0" w:tplc="D6AC1BDA">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5440B8"/>
    <w:multiLevelType w:val="hybridMultilevel"/>
    <w:tmpl w:val="3BDA966A"/>
    <w:lvl w:ilvl="0" w:tplc="D6AC1BDA">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16"/>
  </w:num>
  <w:num w:numId="5">
    <w:abstractNumId w:val="7"/>
  </w:num>
  <w:num w:numId="6">
    <w:abstractNumId w:val="18"/>
  </w:num>
  <w:num w:numId="7">
    <w:abstractNumId w:val="14"/>
  </w:num>
  <w:num w:numId="8">
    <w:abstractNumId w:val="24"/>
  </w:num>
  <w:num w:numId="9">
    <w:abstractNumId w:val="25"/>
  </w:num>
  <w:num w:numId="10">
    <w:abstractNumId w:val="22"/>
  </w:num>
  <w:num w:numId="11">
    <w:abstractNumId w:val="1"/>
  </w:num>
  <w:num w:numId="12">
    <w:abstractNumId w:val="2"/>
  </w:num>
  <w:num w:numId="13">
    <w:abstractNumId w:val="3"/>
  </w:num>
  <w:num w:numId="14">
    <w:abstractNumId w:val="21"/>
  </w:num>
  <w:num w:numId="15">
    <w:abstractNumId w:val="20"/>
  </w:num>
  <w:num w:numId="16">
    <w:abstractNumId w:val="11"/>
  </w:num>
  <w:num w:numId="17">
    <w:abstractNumId w:val="10"/>
  </w:num>
  <w:num w:numId="18">
    <w:abstractNumId w:val="9"/>
  </w:num>
  <w:num w:numId="19">
    <w:abstractNumId w:val="8"/>
  </w:num>
  <w:num w:numId="20">
    <w:abstractNumId w:val="12"/>
  </w:num>
  <w:num w:numId="21">
    <w:abstractNumId w:val="5"/>
  </w:num>
  <w:num w:numId="22">
    <w:abstractNumId w:val="13"/>
  </w:num>
  <w:num w:numId="23">
    <w:abstractNumId w:val="17"/>
  </w:num>
  <w:num w:numId="24">
    <w:abstractNumId w:val="19"/>
  </w:num>
  <w:num w:numId="25">
    <w:abstractNumId w:val="2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B56A2"/>
    <w:rsid w:val="000028DE"/>
    <w:rsid w:val="00003719"/>
    <w:rsid w:val="000364EC"/>
    <w:rsid w:val="00037801"/>
    <w:rsid w:val="00051446"/>
    <w:rsid w:val="000779B3"/>
    <w:rsid w:val="000A6117"/>
    <w:rsid w:val="000E6A88"/>
    <w:rsid w:val="000E6EFE"/>
    <w:rsid w:val="00100D27"/>
    <w:rsid w:val="00201ECB"/>
    <w:rsid w:val="00202D1B"/>
    <w:rsid w:val="002B5CDD"/>
    <w:rsid w:val="00321C65"/>
    <w:rsid w:val="00326AC3"/>
    <w:rsid w:val="003574DF"/>
    <w:rsid w:val="00370301"/>
    <w:rsid w:val="003762AA"/>
    <w:rsid w:val="00391D1D"/>
    <w:rsid w:val="003C7D77"/>
    <w:rsid w:val="003E5B58"/>
    <w:rsid w:val="003F3523"/>
    <w:rsid w:val="00471A31"/>
    <w:rsid w:val="004E4F87"/>
    <w:rsid w:val="00535979"/>
    <w:rsid w:val="00557DF1"/>
    <w:rsid w:val="00580E5D"/>
    <w:rsid w:val="00581FC6"/>
    <w:rsid w:val="005A4565"/>
    <w:rsid w:val="0061661F"/>
    <w:rsid w:val="006167D3"/>
    <w:rsid w:val="00670500"/>
    <w:rsid w:val="0076044E"/>
    <w:rsid w:val="007D5CD6"/>
    <w:rsid w:val="007D7B39"/>
    <w:rsid w:val="007F5089"/>
    <w:rsid w:val="0081191E"/>
    <w:rsid w:val="008964DB"/>
    <w:rsid w:val="008C60C6"/>
    <w:rsid w:val="008D24F6"/>
    <w:rsid w:val="008E330C"/>
    <w:rsid w:val="0090167C"/>
    <w:rsid w:val="009A521D"/>
    <w:rsid w:val="009C11E2"/>
    <w:rsid w:val="00AF2827"/>
    <w:rsid w:val="00B14835"/>
    <w:rsid w:val="00B23DDA"/>
    <w:rsid w:val="00B32B81"/>
    <w:rsid w:val="00B60884"/>
    <w:rsid w:val="00B82089"/>
    <w:rsid w:val="00BD0F56"/>
    <w:rsid w:val="00BD2A0D"/>
    <w:rsid w:val="00BE070A"/>
    <w:rsid w:val="00BF5ECC"/>
    <w:rsid w:val="00C01DB1"/>
    <w:rsid w:val="00CA11BD"/>
    <w:rsid w:val="00CE03A2"/>
    <w:rsid w:val="00D215BB"/>
    <w:rsid w:val="00D32B86"/>
    <w:rsid w:val="00D40F45"/>
    <w:rsid w:val="00D92AD8"/>
    <w:rsid w:val="00DB56A2"/>
    <w:rsid w:val="00E674F4"/>
    <w:rsid w:val="00E720FB"/>
    <w:rsid w:val="00E97E41"/>
    <w:rsid w:val="00F50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56A2"/>
    <w:pPr>
      <w:tabs>
        <w:tab w:val="center" w:pos="4320"/>
        <w:tab w:val="right" w:pos="8640"/>
      </w:tabs>
    </w:pPr>
  </w:style>
  <w:style w:type="character" w:customStyle="1" w:styleId="FooterChar">
    <w:name w:val="Footer Char"/>
    <w:basedOn w:val="DefaultParagraphFont"/>
    <w:link w:val="Footer"/>
    <w:rsid w:val="00DB56A2"/>
    <w:rPr>
      <w:rFonts w:ascii="Times New Roman" w:eastAsia="Times New Roman" w:hAnsi="Times New Roman" w:cs="Times New Roman"/>
    </w:rPr>
  </w:style>
  <w:style w:type="character" w:styleId="Hyperlink">
    <w:name w:val="Hyperlink"/>
    <w:rsid w:val="00DB56A2"/>
    <w:rPr>
      <w:color w:val="0000FF"/>
      <w:u w:val="single"/>
    </w:rPr>
  </w:style>
  <w:style w:type="character" w:styleId="PageNumber">
    <w:name w:val="page number"/>
    <w:rsid w:val="00DB56A2"/>
  </w:style>
  <w:style w:type="paragraph" w:styleId="ListParagraph">
    <w:name w:val="List Paragraph"/>
    <w:basedOn w:val="Normal"/>
    <w:uiPriority w:val="34"/>
    <w:qFormat/>
    <w:rsid w:val="009C11E2"/>
    <w:pPr>
      <w:ind w:left="720"/>
      <w:contextualSpacing/>
    </w:pPr>
  </w:style>
  <w:style w:type="paragraph" w:styleId="Header">
    <w:name w:val="header"/>
    <w:basedOn w:val="Normal"/>
    <w:link w:val="HeaderChar"/>
    <w:uiPriority w:val="99"/>
    <w:unhideWhenUsed/>
    <w:rsid w:val="000779B3"/>
    <w:pPr>
      <w:tabs>
        <w:tab w:val="center" w:pos="4680"/>
        <w:tab w:val="right" w:pos="9360"/>
      </w:tabs>
    </w:pPr>
  </w:style>
  <w:style w:type="character" w:customStyle="1" w:styleId="HeaderChar">
    <w:name w:val="Header Char"/>
    <w:basedOn w:val="DefaultParagraphFont"/>
    <w:link w:val="Header"/>
    <w:uiPriority w:val="99"/>
    <w:rsid w:val="000779B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779B3"/>
    <w:rPr>
      <w:rFonts w:ascii="Tahoma" w:hAnsi="Tahoma" w:cs="Tahoma"/>
      <w:sz w:val="16"/>
      <w:szCs w:val="16"/>
    </w:rPr>
  </w:style>
  <w:style w:type="character" w:customStyle="1" w:styleId="BalloonTextChar">
    <w:name w:val="Balloon Text Char"/>
    <w:basedOn w:val="DefaultParagraphFont"/>
    <w:link w:val="BalloonText"/>
    <w:uiPriority w:val="99"/>
    <w:semiHidden/>
    <w:rsid w:val="000779B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56A2"/>
    <w:pPr>
      <w:tabs>
        <w:tab w:val="center" w:pos="4320"/>
        <w:tab w:val="right" w:pos="8640"/>
      </w:tabs>
    </w:pPr>
  </w:style>
  <w:style w:type="character" w:customStyle="1" w:styleId="FooterChar">
    <w:name w:val="Footer Char"/>
    <w:basedOn w:val="DefaultParagraphFont"/>
    <w:link w:val="Footer"/>
    <w:rsid w:val="00DB56A2"/>
    <w:rPr>
      <w:rFonts w:ascii="Times New Roman" w:eastAsia="Times New Roman" w:hAnsi="Times New Roman" w:cs="Times New Roman"/>
    </w:rPr>
  </w:style>
  <w:style w:type="character" w:styleId="Hyperlink">
    <w:name w:val="Hyperlink"/>
    <w:rsid w:val="00DB56A2"/>
    <w:rPr>
      <w:color w:val="0000FF"/>
      <w:u w:val="single"/>
    </w:rPr>
  </w:style>
  <w:style w:type="character" w:styleId="PageNumber">
    <w:name w:val="page number"/>
    <w:rsid w:val="00DB56A2"/>
  </w:style>
  <w:style w:type="paragraph" w:styleId="ListParagraph">
    <w:name w:val="List Paragraph"/>
    <w:basedOn w:val="Normal"/>
    <w:uiPriority w:val="34"/>
    <w:qFormat/>
    <w:rsid w:val="009C11E2"/>
    <w:pPr>
      <w:ind w:left="720"/>
      <w:contextualSpacing/>
    </w:pPr>
  </w:style>
  <w:style w:type="paragraph" w:styleId="Header">
    <w:name w:val="header"/>
    <w:basedOn w:val="Normal"/>
    <w:link w:val="HeaderChar"/>
    <w:uiPriority w:val="99"/>
    <w:unhideWhenUsed/>
    <w:rsid w:val="000779B3"/>
    <w:pPr>
      <w:tabs>
        <w:tab w:val="center" w:pos="4680"/>
        <w:tab w:val="right" w:pos="9360"/>
      </w:tabs>
    </w:pPr>
  </w:style>
  <w:style w:type="character" w:customStyle="1" w:styleId="HeaderChar">
    <w:name w:val="Header Char"/>
    <w:basedOn w:val="DefaultParagraphFont"/>
    <w:link w:val="Header"/>
    <w:uiPriority w:val="99"/>
    <w:rsid w:val="000779B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779B3"/>
    <w:rPr>
      <w:rFonts w:ascii="Tahoma" w:hAnsi="Tahoma" w:cs="Tahoma"/>
      <w:sz w:val="16"/>
      <w:szCs w:val="16"/>
    </w:rPr>
  </w:style>
  <w:style w:type="character" w:customStyle="1" w:styleId="BalloonTextChar">
    <w:name w:val="Balloon Text Char"/>
    <w:basedOn w:val="DefaultParagraphFont"/>
    <w:link w:val="BalloonText"/>
    <w:uiPriority w:val="99"/>
    <w:semiHidden/>
    <w:rsid w:val="000779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sri.uic.edu/ccss/ccss_bo_briar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e.state.or.us/search/page/?id=34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gageny.org/wp-content/uploads/2011/08/instructional_shifts.pdf" TargetMode="External"/><Relationship Id="rId4" Type="http://schemas.openxmlformats.org/officeDocument/2006/relationships/settings" Target="settings.xml"/><Relationship Id="rId9" Type="http://schemas.openxmlformats.org/officeDocument/2006/relationships/hyperlink" Target="http://www.corestandard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30B9A-F64B-4FB0-9101-5AC807E6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Carr</dc:creator>
  <cp:lastModifiedBy>suebeers</cp:lastModifiedBy>
  <cp:revision>3</cp:revision>
  <cp:lastPrinted>2012-11-07T19:56:00Z</cp:lastPrinted>
  <dcterms:created xsi:type="dcterms:W3CDTF">2012-11-07T19:56:00Z</dcterms:created>
  <dcterms:modified xsi:type="dcterms:W3CDTF">2012-11-07T19:58:00Z</dcterms:modified>
</cp:coreProperties>
</file>